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charts/chart5.xml" ContentType="application/vnd.openxmlformats-officedocument.drawingml.chart+xml"/>
  <Override PartName="/word/charts/style3.xml" ContentType="application/vnd.ms-office.chartstyle+xml"/>
  <Override PartName="/word/charts/style2.xml" ContentType="application/vnd.ms-office.chartstyle+xml"/>
  <Override PartName="/word/charts/colors3.xml" ContentType="application/vnd.ms-office.chartcolorstyle+xml"/>
  <Override PartName="/word/charts/chart2.xml" ContentType="application/vnd.openxmlformats-officedocument.drawingml.chart+xml"/>
  <Override PartName="/word/charts/style4.xml" ContentType="application/vnd.ms-office.chartstyle+xml"/>
  <Override PartName="/word/charts/colors2.xml" ContentType="application/vnd.ms-office.chartcolorstyle+xml"/>
  <Override PartName="/word/charts/colors4.xml" ContentType="application/vnd.ms-office.chartcolorstyle+xml"/>
  <Override PartName="/word/charts/style1.xml" ContentType="application/vnd.ms-office.chartstyle+xml"/>
  <Override PartName="/word/charts/colors1.xml" ContentType="application/vnd.ms-office.chartcolorsty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Социологическое исследование – «Универсальные компетенции - 202</w:t>
      </w:r>
      <w:r>
        <w:rPr>
          <w:rFonts w:ascii="Times New Roman" w:hAnsi="Times New Roman" w:cs="Times New Roman"/>
          <w:b/>
          <w:sz w:val="24"/>
          <w:szCs w:val="24"/>
        </w:rPr>
        <w:t xml:space="preserve">2</w:t>
      </w:r>
      <w:r>
        <w:rPr>
          <w:rFonts w:ascii="Times New Roman" w:hAnsi="Times New Roman" w:cs="Times New Roman"/>
          <w:b/>
          <w:sz w:val="24"/>
          <w:szCs w:val="24"/>
        </w:rPr>
        <w:t xml:space="preserve">»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сентябре – октя</w:t>
      </w:r>
      <w:r>
        <w:rPr>
          <w:rFonts w:ascii="Times New Roman" w:hAnsi="Times New Roman" w:cs="Times New Roman"/>
          <w:sz w:val="24"/>
          <w:szCs w:val="24"/>
        </w:rPr>
        <w:t xml:space="preserve">бре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sz w:val="24"/>
          <w:szCs w:val="24"/>
        </w:rPr>
        <w:t xml:space="preserve"> было проведено анкетирование студентов  </w:t>
      </w:r>
      <w:r>
        <w:rPr>
          <w:rFonts w:ascii="Times New Roman" w:hAnsi="Times New Roman" w:cs="Times New Roman"/>
          <w:sz w:val="24"/>
          <w:szCs w:val="24"/>
        </w:rPr>
        <w:t xml:space="preserve">УдГУ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исследования: оценка освоенности универсальных компетенций студентами в 202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-202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 у.г.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исследования:</w:t>
      </w:r>
      <w:r/>
    </w:p>
    <w:p>
      <w:pPr>
        <w:pStyle w:val="654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качества преподавания по дисциплинам, обеспечивающим эти компетенции.</w:t>
      </w:r>
      <w:r/>
    </w:p>
    <w:p>
      <w:pPr>
        <w:pStyle w:val="654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студентами уровня освоенности универсальных компетенций.</w:t>
      </w:r>
      <w:r/>
    </w:p>
    <w:p>
      <w:pPr>
        <w:pStyle w:val="654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желания сменить направление обучения.</w:t>
      </w:r>
      <w:r/>
    </w:p>
    <w:p>
      <w:pPr>
        <w:pStyle w:val="654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потребностей студентов в дополнительных компетенциях.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было опрошено </w:t>
      </w:r>
      <w:r>
        <w:rPr>
          <w:rFonts w:ascii="Times New Roman" w:hAnsi="Times New Roman" w:cs="Times New Roman"/>
          <w:sz w:val="24"/>
          <w:szCs w:val="24"/>
        </w:rPr>
        <w:t xml:space="preserve">216</w:t>
      </w:r>
      <w:r>
        <w:rPr>
          <w:rFonts w:ascii="Times New Roman" w:hAnsi="Times New Roman" w:cs="Times New Roman"/>
          <w:sz w:val="24"/>
          <w:szCs w:val="24"/>
        </w:rPr>
        <w:t xml:space="preserve"> студентов.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drawing>
          <wp:inline distT="0" distB="0" distL="0" distR="0">
            <wp:extent cx="4086225" cy="2009775"/>
            <wp:effectExtent l="0" t="0" r="9525" b="9525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Рис.1. Распределение по курсам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по институтам</w:t>
      </w:r>
      <w:r/>
    </w:p>
    <w:tbl>
      <w:tblPr>
        <w:tblStyle w:val="656"/>
        <w:tblW w:w="0" w:type="auto"/>
        <w:tblLook w:val="04A0" w:firstRow="1" w:lastRow="0" w:firstColumn="1" w:lastColumn="0" w:noHBand="0" w:noVBand="1"/>
      </w:tblPr>
      <w:tblGrid>
        <w:gridCol w:w="1452"/>
        <w:gridCol w:w="960"/>
      </w:tblGrid>
      <w:tr>
        <w:trPr>
          <w:trHeight w:val="300"/>
        </w:trPr>
        <w:tc>
          <w:tcPr>
            <w:tcW w:w="1452" w:type="dxa"/>
            <w:textDirection w:val="lrTb"/>
            <w:noWrap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</w:t>
            </w:r>
            <w:r/>
          </w:p>
        </w:tc>
        <w:tc>
          <w:tcPr>
            <w:tcW w:w="960" w:type="dxa"/>
            <w:textDirection w:val="lrTb"/>
            <w:noWrap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</w:t>
            </w:r>
            <w:r/>
          </w:p>
        </w:tc>
      </w:tr>
      <w:tr>
        <w:trPr>
          <w:trHeight w:val="300"/>
        </w:trPr>
        <w:tc>
          <w:tcPr>
            <w:tcW w:w="1452" w:type="dxa"/>
            <w:textDirection w:val="lrTb"/>
            <w:noWrap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ИГЗ</w:t>
            </w:r>
            <w:r/>
          </w:p>
        </w:tc>
        <w:tc>
          <w:tcPr>
            <w:tcW w:w="960" w:type="dxa"/>
            <w:textDirection w:val="lrTb"/>
            <w:noWrap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</w:tr>
      <w:tr>
        <w:trPr>
          <w:trHeight w:val="300"/>
        </w:trPr>
        <w:tc>
          <w:tcPr>
            <w:tcW w:w="1452" w:type="dxa"/>
            <w:textDirection w:val="lrTb"/>
            <w:noWrap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ИЕН</w:t>
            </w:r>
            <w:r/>
          </w:p>
        </w:tc>
        <w:tc>
          <w:tcPr>
            <w:tcW w:w="960" w:type="dxa"/>
            <w:textDirection w:val="lrTb"/>
            <w:noWrap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/>
          </w:p>
        </w:tc>
      </w:tr>
      <w:tr>
        <w:trPr>
          <w:trHeight w:val="300"/>
        </w:trPr>
        <w:tc>
          <w:tcPr>
            <w:tcW w:w="1452" w:type="dxa"/>
            <w:textDirection w:val="lrTb"/>
            <w:noWrap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ИИиД</w:t>
            </w:r>
            <w:r/>
          </w:p>
        </w:tc>
        <w:tc>
          <w:tcPr>
            <w:tcW w:w="960" w:type="dxa"/>
            <w:textDirection w:val="lrTb"/>
            <w:noWrap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</w:tr>
      <w:tr>
        <w:trPr>
          <w:trHeight w:val="300"/>
        </w:trPr>
        <w:tc>
          <w:tcPr>
            <w:tcW w:w="1452" w:type="dxa"/>
            <w:textDirection w:val="lrTb"/>
            <w:noWrap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ИИиС</w:t>
            </w:r>
            <w:r/>
          </w:p>
        </w:tc>
        <w:tc>
          <w:tcPr>
            <w:tcW w:w="960" w:type="dxa"/>
            <w:textDirection w:val="lrTb"/>
            <w:noWrap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</w:t>
            </w:r>
            <w:r/>
          </w:p>
        </w:tc>
      </w:tr>
      <w:tr>
        <w:trPr>
          <w:trHeight w:val="300"/>
        </w:trPr>
        <w:tc>
          <w:tcPr>
            <w:tcW w:w="1452" w:type="dxa"/>
            <w:textDirection w:val="lrTb"/>
            <w:noWrap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ИМИТиФ</w:t>
            </w:r>
            <w:r/>
          </w:p>
        </w:tc>
        <w:tc>
          <w:tcPr>
            <w:tcW w:w="960" w:type="dxa"/>
            <w:textDirection w:val="lrTb"/>
            <w:noWrap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300"/>
        </w:trPr>
        <w:tc>
          <w:tcPr>
            <w:tcW w:w="1452" w:type="dxa"/>
            <w:textDirection w:val="lrTb"/>
            <w:noWrap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</w:t>
            </w:r>
            <w:r/>
          </w:p>
        </w:tc>
        <w:tc>
          <w:tcPr>
            <w:tcW w:w="960" w:type="dxa"/>
            <w:textDirection w:val="lrTb"/>
            <w:noWrap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</w:t>
            </w:r>
            <w:r/>
          </w:p>
        </w:tc>
      </w:tr>
      <w:tr>
        <w:trPr>
          <w:trHeight w:val="300"/>
        </w:trPr>
        <w:tc>
          <w:tcPr>
            <w:tcW w:w="1452" w:type="dxa"/>
            <w:textDirection w:val="lrTb"/>
            <w:noWrap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ИППСТ</w:t>
            </w:r>
            <w:r/>
          </w:p>
        </w:tc>
        <w:tc>
          <w:tcPr>
            <w:tcW w:w="960" w:type="dxa"/>
            <w:textDirection w:val="lrTb"/>
            <w:noWrap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</w:tr>
      <w:tr>
        <w:trPr>
          <w:trHeight w:val="300"/>
        </w:trPr>
        <w:tc>
          <w:tcPr>
            <w:tcW w:w="1452" w:type="dxa"/>
            <w:textDirection w:val="lrTb"/>
            <w:noWrap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ИПСУБ</w:t>
            </w:r>
            <w:r/>
          </w:p>
        </w:tc>
        <w:tc>
          <w:tcPr>
            <w:tcW w:w="960" w:type="dxa"/>
            <w:textDirection w:val="lrTb"/>
            <w:noWrap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</w:t>
            </w:r>
            <w:r/>
          </w:p>
        </w:tc>
      </w:tr>
      <w:tr>
        <w:trPr>
          <w:trHeight w:val="300"/>
        </w:trPr>
        <w:tc>
          <w:tcPr>
            <w:tcW w:w="1452" w:type="dxa"/>
            <w:textDirection w:val="lrTb"/>
            <w:noWrap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</w:t>
            </w:r>
            <w:r/>
          </w:p>
        </w:tc>
        <w:tc>
          <w:tcPr>
            <w:tcW w:w="960" w:type="dxa"/>
            <w:textDirection w:val="lrTb"/>
            <w:noWrap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300"/>
        </w:trPr>
        <w:tc>
          <w:tcPr>
            <w:tcW w:w="1452" w:type="dxa"/>
            <w:textDirection w:val="lrTb"/>
            <w:noWrap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ИУФФУиЖ</w:t>
            </w:r>
            <w:r/>
          </w:p>
        </w:tc>
        <w:tc>
          <w:tcPr>
            <w:tcW w:w="960" w:type="dxa"/>
            <w:textDirection w:val="lrTb"/>
            <w:noWrap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/>
          </w:p>
        </w:tc>
      </w:tr>
      <w:tr>
        <w:trPr>
          <w:trHeight w:val="300"/>
        </w:trPr>
        <w:tc>
          <w:tcPr>
            <w:tcW w:w="1452" w:type="dxa"/>
            <w:textDirection w:val="lrTb"/>
            <w:noWrap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ИЭиУ</w:t>
            </w:r>
            <w:r/>
          </w:p>
        </w:tc>
        <w:tc>
          <w:tcPr>
            <w:tcW w:w="960" w:type="dxa"/>
            <w:textDirection w:val="lrTb"/>
            <w:noWrap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</w:tr>
      <w:tr>
        <w:trPr>
          <w:trHeight w:val="300"/>
        </w:trPr>
        <w:tc>
          <w:tcPr>
            <w:tcW w:w="1452" w:type="dxa"/>
            <w:textDirection w:val="lrTb"/>
            <w:noWrap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ИЯЛ</w:t>
            </w:r>
            <w:r/>
          </w:p>
        </w:tc>
        <w:tc>
          <w:tcPr>
            <w:tcW w:w="960" w:type="dxa"/>
            <w:textDirection w:val="lrTb"/>
            <w:noWrap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/>
          </w:p>
        </w:tc>
      </w:tr>
      <w:tr>
        <w:trPr>
          <w:trHeight w:val="300"/>
        </w:trPr>
        <w:tc>
          <w:tcPr>
            <w:tcW w:w="1452" w:type="dxa"/>
            <w:textDirection w:val="lrTb"/>
            <w:noWrap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итог</w:t>
            </w:r>
            <w:r/>
          </w:p>
        </w:tc>
        <w:tc>
          <w:tcPr>
            <w:tcW w:w="960" w:type="dxa"/>
            <w:textDirection w:val="lrTb"/>
            <w:noWrap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 опрошенных представлена студентами бакалавриата (73%) и специалитета (24%), только 3% - студенты магистратуры.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качества преподавания по дисциплинам, обеспечивающим универсальные компетенции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Студентам было предложено оценить качество преподавания дисциплин, обеспечивающих универсальные компетенции, по ряду параметров.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lang w:eastAsia="ru-RU"/>
        </w:rPr>
        <w:drawing>
          <wp:inline distT="0" distB="0" distL="0" distR="0">
            <wp:extent cx="5940425" cy="4027030"/>
            <wp:effectExtent l="0" t="0" r="3175" b="12065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</w:t>
      </w: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 Оцените качество преподавания дисципл</w:t>
      </w:r>
      <w:r>
        <w:rPr>
          <w:rFonts w:ascii="Times New Roman" w:hAnsi="Times New Roman" w:cs="Times New Roman"/>
        </w:rPr>
        <w:t xml:space="preserve">ин по следующим критериям. Для оценки используйте 5-балльную систему, выбрав соответствующую Вашему ответу цифру: 5 – высокая, 4 – выше средней, 3 – средняя, 2 – ниже средней, 1 – низкая, 0 – затрудняюсь оценить. Если этот курс у Вас не читался, ставьте 0.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всех представленных дисциплин, курс «Иностранный язык»</w:t>
      </w:r>
      <w:r>
        <w:rPr>
          <w:rFonts w:ascii="Times New Roman" w:hAnsi="Times New Roman" w:cs="Times New Roman"/>
          <w:sz w:val="24"/>
          <w:szCs w:val="24"/>
        </w:rPr>
        <w:t xml:space="preserve">, как и в предыдущем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получил наиболее высокие оценки по всем параметрам, и особенно по параметрам </w:t>
      </w:r>
      <w:r>
        <w:rPr>
          <w:rFonts w:ascii="Times New Roman" w:hAnsi="Times New Roman" w:cs="Times New Roman"/>
          <w:sz w:val="24"/>
          <w:szCs w:val="24"/>
        </w:rPr>
        <w:t xml:space="preserve">«Полезность для расширения кругозора и развития»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4,</w:t>
      </w:r>
      <w:r>
        <w:rPr>
          <w:rFonts w:ascii="Times New Roman" w:hAnsi="Times New Roman" w:cs="Times New Roman"/>
          <w:sz w:val="24"/>
          <w:szCs w:val="24"/>
        </w:rPr>
        <w:t xml:space="preserve">42</w:t>
      </w:r>
      <w:r>
        <w:rPr>
          <w:rFonts w:ascii="Times New Roman" w:hAnsi="Times New Roman" w:cs="Times New Roman"/>
          <w:sz w:val="24"/>
          <w:szCs w:val="24"/>
        </w:rPr>
        <w:t xml:space="preserve"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«Полезность для будущей карьеры»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(4,</w:t>
      </w:r>
      <w:r>
        <w:rPr>
          <w:rFonts w:ascii="Times New Roman" w:hAnsi="Times New Roman" w:cs="Times New Roman"/>
          <w:sz w:val="24"/>
          <w:szCs w:val="24"/>
        </w:rPr>
        <w:t xml:space="preserve">29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бщий средний балл</w:t>
      </w:r>
      <w:r>
        <w:rPr>
          <w:rFonts w:ascii="Times New Roman" w:hAnsi="Times New Roman" w:cs="Times New Roman"/>
          <w:sz w:val="24"/>
          <w:szCs w:val="24"/>
        </w:rPr>
        <w:t xml:space="preserve"> по этой дисциплине составил 4,</w:t>
      </w:r>
      <w:r>
        <w:rPr>
          <w:rFonts w:ascii="Times New Roman" w:hAnsi="Times New Roman" w:cs="Times New Roman"/>
          <w:sz w:val="24"/>
          <w:szCs w:val="24"/>
        </w:rPr>
        <w:t xml:space="preserve">23</w:t>
      </w:r>
      <w:r>
        <w:rPr>
          <w:rFonts w:ascii="Times New Roman" w:hAnsi="Times New Roman" w:cs="Times New Roman"/>
          <w:sz w:val="24"/>
          <w:szCs w:val="24"/>
        </w:rPr>
        <w:t xml:space="preserve">. Также </w:t>
      </w:r>
      <w:r>
        <w:rPr>
          <w:rFonts w:ascii="Times New Roman" w:hAnsi="Times New Roman" w:cs="Times New Roman"/>
          <w:sz w:val="24"/>
          <w:szCs w:val="24"/>
        </w:rPr>
        <w:t xml:space="preserve">высоко </w:t>
      </w:r>
      <w:r>
        <w:rPr>
          <w:rFonts w:ascii="Times New Roman" w:hAnsi="Times New Roman" w:cs="Times New Roman"/>
          <w:sz w:val="24"/>
          <w:szCs w:val="24"/>
        </w:rPr>
        <w:t xml:space="preserve"> студенты оценили дисциплину «</w:t>
      </w:r>
      <w:r>
        <w:rPr>
          <w:rFonts w:ascii="Times New Roman" w:hAnsi="Times New Roman" w:cs="Times New Roman"/>
          <w:sz w:val="24"/>
          <w:szCs w:val="24"/>
        </w:rPr>
        <w:t xml:space="preserve">Деловая коммуникация на русском языке</w:t>
      </w:r>
      <w:r>
        <w:rPr>
          <w:rFonts w:ascii="Times New Roman" w:hAnsi="Times New Roman" w:cs="Times New Roman"/>
          <w:sz w:val="24"/>
          <w:szCs w:val="24"/>
        </w:rPr>
        <w:t xml:space="preserve">» (общий с</w:t>
      </w:r>
      <w:r>
        <w:rPr>
          <w:rFonts w:ascii="Times New Roman" w:hAnsi="Times New Roman" w:cs="Times New Roman"/>
          <w:sz w:val="24"/>
          <w:szCs w:val="24"/>
        </w:rPr>
        <w:t xml:space="preserve">редний балл 4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а также «Цифровая экономика и финансовая грамотность (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Рис.1, </w:t>
      </w:r>
      <w:r>
        <w:rPr>
          <w:rFonts w:ascii="Times New Roman" w:hAnsi="Times New Roman" w:cs="Times New Roman"/>
          <w:sz w:val="24"/>
          <w:szCs w:val="24"/>
        </w:rPr>
        <w:t xml:space="preserve">Приложение, таблица 1). </w:t>
      </w:r>
      <w:r>
        <w:rPr>
          <w:rFonts w:ascii="Times New Roman" w:hAnsi="Times New Roman" w:cs="Times New Roman"/>
          <w:sz w:val="24"/>
          <w:szCs w:val="24"/>
        </w:rPr>
        <w:t xml:space="preserve">Дисциплина «Безопасность жизнедеятельности получила наиболее низкие средние баллы – общий средний балл составил </w:t>
      </w:r>
      <w:r>
        <w:rPr>
          <w:rFonts w:ascii="Times New Roman" w:hAnsi="Times New Roman" w:cs="Times New Roman"/>
          <w:sz w:val="24"/>
          <w:szCs w:val="24"/>
        </w:rPr>
        <w:t xml:space="preserve">3,48</w:t>
      </w:r>
      <w:r>
        <w:rPr>
          <w:rFonts w:ascii="Times New Roman" w:hAnsi="Times New Roman" w:cs="Times New Roman"/>
          <w:sz w:val="24"/>
          <w:szCs w:val="24"/>
        </w:rPr>
        <w:t xml:space="preserve">. Остальные дисциплины оцениваются примерно на одинаковом уровне (общий средний балл от 3,</w:t>
      </w:r>
      <w:r>
        <w:rPr>
          <w:rFonts w:ascii="Times New Roman" w:hAnsi="Times New Roman" w:cs="Times New Roman"/>
          <w:sz w:val="24"/>
          <w:szCs w:val="24"/>
        </w:rPr>
        <w:t xml:space="preserve">8</w:t>
      </w:r>
      <w:r>
        <w:rPr>
          <w:rFonts w:ascii="Times New Roman" w:hAnsi="Times New Roman" w:cs="Times New Roman"/>
          <w:sz w:val="24"/>
          <w:szCs w:val="24"/>
        </w:rPr>
        <w:t xml:space="preserve"> до 3,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). Среди всех показателей оценки наивысшее значение получил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 xml:space="preserve">и «Ясность подачи материала преподавателем» и</w:t>
      </w:r>
      <w:r>
        <w:rPr>
          <w:rFonts w:ascii="Times New Roman" w:hAnsi="Times New Roman" w:cs="Times New Roman"/>
          <w:sz w:val="24"/>
          <w:szCs w:val="24"/>
        </w:rPr>
        <w:t xml:space="preserve"> «Полезно для расширения кругозора и развития» 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(см. Приложение, таблица 1).</w:t>
      </w:r>
      <w:r>
        <w:rPr>
          <w:rFonts w:ascii="Times New Roman" w:hAnsi="Times New Roman" w:cs="Times New Roman"/>
          <w:sz w:val="24"/>
          <w:szCs w:val="24"/>
        </w:rPr>
        <w:t xml:space="preserve"> Однако следует учесть, что по ряду дисциплин количество оценивших было явно недостаточно для получения объективных оценок, что требует дополнительных исследований.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задачей была оценка </w:t>
      </w:r>
      <w:r>
        <w:rPr>
          <w:rFonts w:ascii="Times New Roman" w:hAnsi="Times New Roman" w:cs="Times New Roman"/>
          <w:sz w:val="24"/>
          <w:szCs w:val="24"/>
        </w:rPr>
        <w:t xml:space="preserve">студентами уровня освоенности универсальных компетенций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Лучше всего, по мнению студентов, они владеют способностью к саморазвитию и самообучению (4,14). Может быть поэтому они невысоко оценили соответствующий курс, так как не видят в нем 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но это нуждается в дополнительных исследованиях). На втором месте – способность к </w:t>
      </w:r>
      <w:r>
        <w:rPr>
          <w:rFonts w:ascii="Times New Roman" w:hAnsi="Times New Roman" w:cs="Times New Roman"/>
          <w:sz w:val="24"/>
          <w:szCs w:val="24"/>
        </w:rPr>
        <w:t xml:space="preserve">общению на русском языке и коммуникативные навыки (3,9). Способность к общению на иностранном языке оценивается ниже среднего, как и в прошлом году (ситуация повторяется, что говорит об устойчивости и относительной надежности данных). То есть несмотря на в</w:t>
      </w:r>
      <w:r>
        <w:rPr>
          <w:rFonts w:ascii="Times New Roman" w:hAnsi="Times New Roman" w:cs="Times New Roman"/>
          <w:sz w:val="24"/>
          <w:szCs w:val="24"/>
        </w:rPr>
        <w:t xml:space="preserve">ысокую оценку преподавания дисциплины «Иностранный язык», студенты чувствуют нехватку имеющихся у них способностей. Такая тенденция может быть связана с невысоким уровнем преподавания иностранного языка в школе и низкое количество часов по этой дисциплине </w:t>
      </w:r>
      <w:r>
        <w:rPr>
          <w:rFonts w:ascii="Times New Roman" w:hAnsi="Times New Roman" w:cs="Times New Roman"/>
          <w:sz w:val="24"/>
          <w:szCs w:val="24"/>
        </w:rPr>
        <w:t xml:space="preserve">в вузе. Невысоко оценивается студентами и способность к межкультурному взаимодействию.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drawing>
          <wp:inline distT="0" distB="0" distL="0" distR="0">
            <wp:extent cx="5876925" cy="4010025"/>
            <wp:effectExtent l="0" t="0" r="9525" b="952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>
        <w:rPr>
          <w:rFonts w:ascii="Times New Roman" w:hAnsi="Times New Roman" w:cs="Times New Roman"/>
        </w:rPr>
        <w:t xml:space="preserve">3</w:t>
      </w:r>
      <w:r>
        <w:rPr>
          <w:rFonts w:ascii="Times New Roman" w:hAnsi="Times New Roman" w:cs="Times New Roman"/>
        </w:rPr>
        <w:t xml:space="preserve">. Оцените по 5-балльной шкале свой уровень владения следующими КОМПЕТЕНЦИЯМИ (где 5 – очень высокий, 4 выше среднего, 3 – средний, 2 – ниже среднего, 1 очень низкий, 0 – затрудняюсь оценить)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Студентам было также предложено высказать собственные мнения по поводу </w:t>
      </w:r>
      <w:r>
        <w:rPr>
          <w:rFonts w:ascii="Times New Roman" w:hAnsi="Times New Roman" w:cs="Times New Roman"/>
          <w:sz w:val="24"/>
          <w:szCs w:val="24"/>
        </w:rPr>
        <w:t xml:space="preserve">качества преподавания в вузе</w:t>
      </w:r>
      <w:r>
        <w:rPr>
          <w:rFonts w:ascii="Times New Roman" w:hAnsi="Times New Roman" w:cs="Times New Roman"/>
          <w:sz w:val="24"/>
          <w:szCs w:val="24"/>
        </w:rPr>
        <w:t xml:space="preserve">. В основном ответы были </w:t>
      </w:r>
      <w:r>
        <w:rPr>
          <w:rFonts w:ascii="Times New Roman" w:hAnsi="Times New Roman" w:cs="Times New Roman"/>
          <w:sz w:val="24"/>
          <w:szCs w:val="24"/>
        </w:rPr>
        <w:t xml:space="preserve">касались необходимости повышения роли практической подготовки в преподавании: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Больше преподавателей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</w:t>
      </w:r>
      <w:r>
        <w:rPr>
          <w:rFonts w:ascii="Times New Roman" w:hAnsi="Times New Roman" w:cs="Times New Roman"/>
          <w:i/>
          <w:sz w:val="24"/>
          <w:szCs w:val="24"/>
        </w:rPr>
        <w:t xml:space="preserve"> которые работают с тем что преподают на реальной практике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студенты высказывают же</w:t>
      </w:r>
      <w:r>
        <w:rPr>
          <w:rFonts w:ascii="Times New Roman" w:hAnsi="Times New Roman" w:cs="Times New Roman"/>
          <w:sz w:val="24"/>
          <w:szCs w:val="24"/>
        </w:rPr>
        <w:t xml:space="preserve">л</w:t>
      </w:r>
      <w:r>
        <w:rPr>
          <w:rFonts w:ascii="Times New Roman" w:hAnsi="Times New Roman" w:cs="Times New Roman"/>
          <w:sz w:val="24"/>
          <w:szCs w:val="24"/>
        </w:rPr>
        <w:t xml:space="preserve">ание увеличить объем часов по ряду дисциплин.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Выделить больше часов на изучение дисциплин "История", "Физическая культура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  <w:t xml:space="preserve">"</w:t>
      </w:r>
      <w:r/>
    </w:p>
    <w:p>
      <w:pPr>
        <w:jc w:val="both"/>
        <w:spacing w:after="0" w:line="240" w:lineRule="auto"/>
        <w:tabs>
          <w:tab w:val="left" w:pos="127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некоторые дисциплины опрошенные считают бесполезными, поскольку не дают </w:t>
      </w:r>
      <w:r>
        <w:rPr>
          <w:rFonts w:ascii="Times New Roman" w:hAnsi="Times New Roman" w:cs="Times New Roman"/>
          <w:sz w:val="24"/>
          <w:szCs w:val="24"/>
        </w:rPr>
        <w:t xml:space="preserve"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 осваивать профессиональные навыки.:</w:t>
      </w:r>
      <w:r/>
    </w:p>
    <w:p>
      <w:pPr>
        <w:pStyle w:val="654"/>
        <w:numPr>
          <w:ilvl w:val="0"/>
          <w:numId w:val="8"/>
        </w:numPr>
        <w:jc w:val="both"/>
        <w:spacing w:after="0" w:line="240" w:lineRule="auto"/>
        <w:tabs>
          <w:tab w:val="left" w:pos="1275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Главным образом необходимо удаление не нужных и откровенно бесполезных дисциплин не имеющих даже косвенного отношения к основной профессии. Примеры таких: цифровая экономика и </w:t>
      </w:r>
      <w:r>
        <w:rPr>
          <w:rFonts w:ascii="Times New Roman" w:hAnsi="Times New Roman" w:cs="Times New Roman"/>
          <w:i/>
          <w:sz w:val="24"/>
          <w:szCs w:val="24"/>
        </w:rPr>
        <w:t xml:space="preserve">финграмотность, цифровая культура, культура предпринимательства, проектная деятельность, саморазвитие и инклюзивная готовность профессионала. Все свыше перечисленные предметы необходимо убрать по причине оттягивания времени у других более важных проф. дисц</w:t>
      </w:r>
      <w:r>
        <w:rPr>
          <w:rFonts w:ascii="Times New Roman" w:hAnsi="Times New Roman" w:cs="Times New Roman"/>
          <w:i/>
          <w:sz w:val="24"/>
          <w:szCs w:val="24"/>
        </w:rPr>
        <w:t xml:space="preserve">иплин</w:t>
      </w:r>
      <w:r>
        <w:rPr>
          <w:rFonts w:ascii="Times New Roman" w:hAnsi="Times New Roman" w:cs="Times New Roman"/>
          <w:i/>
          <w:sz w:val="24"/>
          <w:szCs w:val="24"/>
        </w:rPr>
        <w:t xml:space="preserve">. Сократить часы следующих общее об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разовательных дисциплин ОБЖ и физкультуру. Иностранный язык оставить без изменения. За счёт правильно расставленных профессиональных приоритетов... Так же нужна стабилизация учебного плана. Нет нужды ежегодно переделывать его добавляя не нужные дисциплины.</w:t>
      </w:r>
      <w:r/>
    </w:p>
    <w:p>
      <w:pPr>
        <w:pStyle w:val="654"/>
        <w:numPr>
          <w:ilvl w:val="0"/>
          <w:numId w:val="8"/>
        </w:numPr>
        <w:jc w:val="both"/>
        <w:spacing w:after="0" w:line="240" w:lineRule="auto"/>
        <w:tabs>
          <w:tab w:val="left" w:pos="1275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Хотелось бы, чтобы историки занимались историей, философией, правом, политикой и частично понимали экономические термины, но не более. Технические </w:t>
      </w:r>
      <w:r>
        <w:rPr>
          <w:rFonts w:ascii="Times New Roman" w:hAnsi="Times New Roman" w:cs="Times New Roman"/>
          <w:i/>
          <w:sz w:val="24"/>
          <w:szCs w:val="24"/>
        </w:rPr>
        <w:t xml:space="preserve">же специальности должны заниматься математикой, физикой и пр</w:t>
      </w:r>
      <w:r>
        <w:rPr>
          <w:rFonts w:ascii="Times New Roman" w:hAnsi="Times New Roman" w:cs="Times New Roman"/>
          <w:i/>
          <w:sz w:val="24"/>
          <w:szCs w:val="24"/>
        </w:rPr>
        <w:t xml:space="preserve">иборостроением. Лишние предметы перегружают программу ненужной информацией, люди разочаровываются в собственной профессии, ибо эти доп. предметы толкают на 1 курсе, который как бы должен заинтересовать профилем, по которому ты учишься, а не всякой ерундой.</w:t>
      </w:r>
      <w:r/>
    </w:p>
    <w:p>
      <w:pPr>
        <w:jc w:val="center"/>
        <w:spacing w:after="0" w:line="240" w:lineRule="auto"/>
        <w:tabs>
          <w:tab w:val="left" w:pos="1275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tabs>
          <w:tab w:val="left" w:pos="1275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</w:t>
      </w:r>
      <w:r>
        <w:rPr>
          <w:rFonts w:ascii="Times New Roman" w:hAnsi="Times New Roman" w:cs="Times New Roman"/>
          <w:b/>
          <w:sz w:val="24"/>
          <w:szCs w:val="24"/>
        </w:rPr>
        <w:t xml:space="preserve">елание сменить направление (специальность).</w:t>
      </w:r>
      <w:r/>
    </w:p>
    <w:p>
      <w:pPr>
        <w:ind w:firstLine="709"/>
        <w:jc w:val="both"/>
        <w:spacing w:after="0" w:line="240" w:lineRule="auto"/>
        <w:tabs>
          <w:tab w:val="left" w:pos="127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left" w:pos="127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современных </w:t>
      </w:r>
      <w:r>
        <w:rPr>
          <w:rFonts w:ascii="Times New Roman" w:hAnsi="Times New Roman" w:cs="Times New Roman"/>
          <w:sz w:val="24"/>
          <w:szCs w:val="24"/>
        </w:rPr>
        <w:t xml:space="preserve">условиях актуальным является выяснение потребностей студентов в том, чтобы сменить направление или специальность подготовки. </w:t>
      </w:r>
      <w:r/>
    </w:p>
    <w:p>
      <w:pPr>
        <w:jc w:val="both"/>
        <w:spacing w:after="0" w:line="240" w:lineRule="auto"/>
        <w:tabs>
          <w:tab w:val="left" w:pos="127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tabs>
          <w:tab w:val="left" w:pos="127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drawing>
          <wp:inline distT="0" distB="0" distL="0" distR="0">
            <wp:extent cx="3810000" cy="2000250"/>
            <wp:effectExtent l="0" t="0" r="0" b="0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/>
    </w:p>
    <w:p>
      <w:pPr>
        <w:jc w:val="center"/>
        <w:spacing w:after="0" w:line="240" w:lineRule="auto"/>
        <w:tabs>
          <w:tab w:val="left" w:pos="127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>
        <w:rPr>
          <w:rFonts w:ascii="Times New Roman" w:hAnsi="Times New Roman" w:cs="Times New Roman"/>
        </w:rPr>
        <w:t xml:space="preserve">4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Если бы появилась возможность, сменили бы Вы направление подготовки?</w:t>
      </w:r>
      <w:r/>
    </w:p>
    <w:p>
      <w:pPr>
        <w:jc w:val="both"/>
        <w:spacing w:after="0" w:line="240" w:lineRule="auto"/>
        <w:tabs>
          <w:tab w:val="left" w:pos="127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tabs>
          <w:tab w:val="left" w:pos="127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Желают сменить направление и специальность 15%. Это столько же, что и в прошлом году. Однако по сравнению с прошлым годом существенно повысилась доля тех, кто не желает этого делать: с 48</w:t>
      </w:r>
      <w:r>
        <w:rPr>
          <w:rFonts w:ascii="Times New Roman" w:hAnsi="Times New Roman" w:cs="Times New Roman"/>
          <w:sz w:val="24"/>
          <w:szCs w:val="24"/>
        </w:rPr>
        <w:t xml:space="preserve">%</w:t>
      </w:r>
      <w:r>
        <w:rPr>
          <w:rFonts w:ascii="Times New Roman" w:hAnsi="Times New Roman" w:cs="Times New Roman"/>
          <w:sz w:val="24"/>
          <w:szCs w:val="24"/>
        </w:rPr>
        <w:t xml:space="preserve"> до 62%, и умень</w:t>
      </w:r>
      <w:r>
        <w:rPr>
          <w:rFonts w:ascii="Times New Roman" w:hAnsi="Times New Roman" w:cs="Times New Roman"/>
          <w:sz w:val="24"/>
          <w:szCs w:val="24"/>
        </w:rPr>
        <w:t xml:space="preserve">шилось количество сомневающихся – с 37% до 23%.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Однако следует отметить, что в прошлом году исследование проводилось только среди студентов 1 курса, и в этом году среди первокурсников наблюдается наибольшая доля сомневающихся по сравнению с другими курсами – 29%. </w:t>
      </w:r>
      <w:r/>
    </w:p>
    <w:p>
      <w:pPr>
        <w:jc w:val="both"/>
        <w:spacing w:after="0" w:line="240" w:lineRule="auto"/>
        <w:tabs>
          <w:tab w:val="left" w:pos="127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tabs>
          <w:tab w:val="left" w:pos="127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Сравнение данных с 2021 годом (% от общей суммы опрошенных в соответствующем году)</w:t>
      </w:r>
      <w:r/>
    </w:p>
    <w:tbl>
      <w:tblPr>
        <w:tblW w:w="3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22"/>
        <w:gridCol w:w="850"/>
        <w:gridCol w:w="992"/>
      </w:tblGrid>
      <w:tr>
        <w:trPr>
          <w:jc w:val="center"/>
          <w:trHeight w:val="300"/>
        </w:trPr>
        <w:tc>
          <w:tcPr>
            <w:shd w:val="clear" w:color="auto" w:fill="auto"/>
            <w:tcW w:w="2122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85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2021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2022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2122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85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15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15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2122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не знаю</w:t>
            </w:r>
            <w:r/>
          </w:p>
        </w:tc>
        <w:tc>
          <w:tcPr>
            <w:shd w:val="clear" w:color="auto" w:fill="auto"/>
            <w:tcW w:w="85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37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23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2122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48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62</w:t>
            </w:r>
            <w:r/>
          </w:p>
        </w:tc>
      </w:tr>
    </w:tbl>
    <w:p>
      <w:pPr>
        <w:jc w:val="both"/>
        <w:spacing w:after="0" w:line="240" w:lineRule="auto"/>
        <w:tabs>
          <w:tab w:val="left" w:pos="127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tabs>
          <w:tab w:val="left" w:pos="1275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Потребность в дополнительных компетенциях</w:t>
      </w:r>
      <w:r/>
    </w:p>
    <w:p>
      <w:pPr>
        <w:ind w:firstLine="709"/>
        <w:jc w:val="both"/>
        <w:spacing w:after="0" w:line="240" w:lineRule="auto"/>
        <w:tabs>
          <w:tab w:val="left" w:pos="127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</w:t>
      </w:r>
      <w:r>
        <w:rPr>
          <w:rFonts w:ascii="Times New Roman" w:hAnsi="Times New Roman" w:cs="Times New Roman"/>
          <w:sz w:val="24"/>
          <w:szCs w:val="24"/>
        </w:rPr>
        <w:t xml:space="preserve">новых требований к формированию гибких образовательных программ и индивидуальных образовательных траекторий </w:t>
      </w:r>
      <w:r>
        <w:rPr>
          <w:rFonts w:ascii="Times New Roman" w:hAnsi="Times New Roman" w:cs="Times New Roman"/>
          <w:sz w:val="24"/>
          <w:szCs w:val="24"/>
        </w:rPr>
        <w:t xml:space="preserve">приобретает значим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сть дополнительного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Студентам был задан вопрос, какие дополнительные компетенции и знания они хотели бы получить дополнительно к своей основной профессии. </w:t>
      </w:r>
      <w:r/>
    </w:p>
    <w:p>
      <w:pPr>
        <w:ind w:firstLine="709"/>
        <w:jc w:val="both"/>
        <w:spacing w:after="0" w:line="240" w:lineRule="auto"/>
        <w:tabs>
          <w:tab w:val="left" w:pos="127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Чаще всего в качестве дополнительных востребованных компетенций студенты выбирают цифровые компетенции в различны</w:t>
      </w:r>
      <w:r>
        <w:rPr>
          <w:rFonts w:ascii="Times New Roman" w:hAnsi="Times New Roman" w:cs="Times New Roman"/>
          <w:sz w:val="24"/>
          <w:szCs w:val="24"/>
        </w:rPr>
        <w:t xml:space="preserve">х формах, начиная с навыков владения компьютером, программированием, веб-дизайном, и заканчивая освоением специфических профессиональных программ. На втором месте - иностранные языки, причем не только английский, но и китайский, финский, французский и др. </w:t>
      </w:r>
      <w:r/>
    </w:p>
    <w:p>
      <w:pPr>
        <w:jc w:val="both"/>
        <w:spacing w:after="0" w:line="240" w:lineRule="auto"/>
        <w:tabs>
          <w:tab w:val="left" w:pos="127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8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8. </w:t>
      </w:r>
      <w:r>
        <w:rPr>
          <w:rFonts w:ascii="Times New Roman" w:hAnsi="Times New Roman" w:cs="Times New Roman"/>
          <w:sz w:val="24"/>
          <w:szCs w:val="24"/>
        </w:rPr>
        <w:t xml:space="preserve">Какие компетенции Вы бы хотели освоить дополнительно?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tbl>
      <w:tblPr>
        <w:tblW w:w="6516" w:type="dxa"/>
        <w:tblLook w:val="04A0" w:firstRow="1" w:lastRow="0" w:firstColumn="1" w:lastColumn="0" w:noHBand="0" w:noVBand="1"/>
      </w:tblPr>
      <w:tblGrid>
        <w:gridCol w:w="4360"/>
        <w:gridCol w:w="2156"/>
      </w:tblGrid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компетенция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Стрессоустойчивость, саморазвитие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6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Лидерские качества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6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Предпринимательство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6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Финансовая грамотность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6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Ю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риспруденция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правовая грамотность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6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ностранные языки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6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21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Цифровые компетенции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6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</w:tr>
    </w:tbl>
    <w:p>
      <w:pPr>
        <w:jc w:val="both"/>
        <w:spacing w:after="0" w:line="240" w:lineRule="auto"/>
        <w:tabs>
          <w:tab w:val="left" w:pos="127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tabs>
          <w:tab w:val="left" w:pos="127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других компетенций были названы дизайн, публичные выступления, </w:t>
      </w:r>
      <w:r>
        <w:rPr>
          <w:rFonts w:ascii="Times New Roman" w:hAnsi="Times New Roman" w:cs="Times New Roman"/>
          <w:sz w:val="24"/>
          <w:szCs w:val="24"/>
        </w:rPr>
        <w:t xml:space="preserve">веб-дизайн, видеомонтаж, </w:t>
      </w:r>
      <w:r>
        <w:rPr>
          <w:rFonts w:ascii="Times New Roman" w:hAnsi="Times New Roman" w:cs="Times New Roman"/>
          <w:sz w:val="24"/>
          <w:szCs w:val="24"/>
        </w:rPr>
        <w:t xml:space="preserve">управление персоналом</w:t>
      </w:r>
      <w:r>
        <w:rPr>
          <w:rFonts w:ascii="Times New Roman" w:hAnsi="Times New Roman" w:cs="Times New Roman"/>
          <w:sz w:val="24"/>
          <w:szCs w:val="24"/>
        </w:rPr>
        <w:t xml:space="preserve"> искусство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ораторское дело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/>
    </w:p>
    <w:p>
      <w:pPr>
        <w:jc w:val="both"/>
        <w:spacing w:after="0" w:line="240" w:lineRule="auto"/>
        <w:tabs>
          <w:tab w:val="left" w:pos="127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повышением роли формирования у студентов предпринимательских компетенций был задан вопрос об их интересе к этой сфере деятельности.</w:t>
      </w:r>
      <w:r/>
    </w:p>
    <w:p>
      <w:pPr>
        <w:jc w:val="both"/>
        <w:spacing w:after="0" w:line="240" w:lineRule="auto"/>
        <w:tabs>
          <w:tab w:val="left" w:pos="127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tabs>
          <w:tab w:val="left" w:pos="127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drawing>
          <wp:inline distT="0" distB="0" distL="0" distR="0">
            <wp:extent cx="4838700" cy="2181225"/>
            <wp:effectExtent l="0" t="0" r="0" b="9525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/>
    </w:p>
    <w:p>
      <w:pPr>
        <w:jc w:val="both"/>
        <w:spacing w:after="0" w:line="240" w:lineRule="auto"/>
        <w:tabs>
          <w:tab w:val="left" w:pos="127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 5. Интересует ли Вас предпринимательская деятельность?</w:t>
      </w:r>
      <w:r/>
    </w:p>
    <w:p>
      <w:pPr>
        <w:jc w:val="both"/>
        <w:spacing w:after="0" w:line="240" w:lineRule="auto"/>
        <w:tabs>
          <w:tab w:val="left" w:pos="127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tabs>
          <w:tab w:val="left" w:pos="127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Около 5% уже имеют свое дело, еще 35% хотели бы открыть свой бизнес-проект. Это говорит о высоком потенциале развития предпринимательства среди студентов. 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 и рекомендации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следующие дисциплины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tbl>
      <w:tblPr>
        <w:tblStyle w:val="656"/>
        <w:tblW w:w="0" w:type="auto"/>
        <w:tblLook w:val="04A0" w:firstRow="1" w:lastRow="0" w:firstColumn="1" w:lastColumn="0" w:noHBand="0" w:noVBand="1"/>
      </w:tblPr>
      <w:tblGrid>
        <w:gridCol w:w="2559"/>
        <w:gridCol w:w="3106"/>
        <w:gridCol w:w="3680"/>
      </w:tblGrid>
      <w:tr>
        <w:trPr/>
        <w:tc>
          <w:tcPr>
            <w:tcW w:w="2559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</w:t>
            </w:r>
            <w:r/>
          </w:p>
        </w:tc>
        <w:tc>
          <w:tcPr>
            <w:tcW w:w="3106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</w:t>
            </w:r>
            <w:r/>
          </w:p>
        </w:tc>
        <w:tc>
          <w:tcPr>
            <w:tcW w:w="3680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</w:t>
            </w:r>
            <w:r/>
          </w:p>
        </w:tc>
      </w:tr>
      <w:tr>
        <w:trPr/>
        <w:tc>
          <w:tcPr>
            <w:tcW w:w="2559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</w:t>
            </w:r>
            <w:r/>
          </w:p>
        </w:tc>
        <w:tc>
          <w:tcPr>
            <w:tcW w:w="3106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оценка качества преподавания, низкая оценка владения.</w:t>
            </w:r>
            <w:r/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680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количества часов, пересмотр методик обучения</w:t>
            </w:r>
            <w:r/>
          </w:p>
        </w:tc>
      </w:tr>
      <w:tr>
        <w:trPr/>
        <w:tc>
          <w:tcPr>
            <w:tcW w:w="2559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дисциплины</w:t>
            </w:r>
            <w:r/>
          </w:p>
        </w:tc>
        <w:tc>
          <w:tcPr>
            <w:tcW w:w="3106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средняя оценка владения, потребность в дополнительном освоении</w:t>
            </w:r>
            <w:r/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680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профессиональных особенностей обучающихся, развитие программ ДПО и ДО</w:t>
            </w:r>
            <w:r/>
          </w:p>
        </w:tc>
      </w:tr>
      <w:tr>
        <w:trPr/>
        <w:tc>
          <w:tcPr>
            <w:tcW w:w="2559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и предпринимательство</w:t>
            </w:r>
            <w:r/>
          </w:p>
        </w:tc>
        <w:tc>
          <w:tcPr>
            <w:tcW w:w="3106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преподавания, наличие интереса к этой сфере</w:t>
            </w:r>
            <w:r/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680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методик преподавания (в т.ч. с использованием проектной деятельности, развитие студенческих стартапов и др.), развитие программ ДПО и ДО, бизнес-акселераторов и т.д.</w:t>
            </w: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новым дисциплинам, читаемым недавно, требуется проведение дополнительных исследований по качеству преподавания, которые кафедры могут проводить самостоятельно либо с использованием ресурса УМУ.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целом, имеется противоречие в том, что студенты боле</w:t>
      </w:r>
      <w:r>
        <w:rPr>
          <w:rFonts w:ascii="Times New Roman" w:hAnsi="Times New Roman" w:cs="Times New Roman"/>
          <w:sz w:val="24"/>
          <w:szCs w:val="24"/>
        </w:rPr>
        <w:t xml:space="preserve">е заинтересованы в освоении профессиональных компетенций, и не всегда понимают необходимость общих дисциплин. Это говорит о недостаточной эффективности использования традиционного «предметного-дисциплинарного» подхода к освоению универсальных компетенций. 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уделить внимание разработке методик преподавания дисциплин, обеспечивающих универсальные компетенции, как с уч</w:t>
      </w:r>
      <w:r>
        <w:rPr>
          <w:rFonts w:ascii="Times New Roman" w:hAnsi="Times New Roman" w:cs="Times New Roman"/>
          <w:sz w:val="24"/>
          <w:szCs w:val="24"/>
        </w:rPr>
        <w:t xml:space="preserve">етом особенностей направления (или группы направлений), так и для освоения «мягких навыков», необходимых в любой профессиональной деятельности. При этом важнейшей составляющей этих методик должна быть ведущая роль практического освоения получаемых навыков.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Другим вариантом решения проблемы может быть освоение УК в рамках профессиональных дисциплин, однако для этого необходимо поменять подходы к преподаванию и оцениванию этих компетенций. 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alibri Light">
    <w:panose1 w:val="020F0502020204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hAnsi="Calibri Light" w:asciiTheme="majorHAnsi" w:eastAsiaTheme="majorEastAsia" w:cstheme="majorBidi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7"/>
    <w:uiPriority w:val="99"/>
  </w:style>
  <w:style w:type="character" w:styleId="44">
    <w:name w:val="Footer Char"/>
    <w:basedOn w:val="651"/>
    <w:link w:val="659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59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List Paragraph"/>
    <w:basedOn w:val="650"/>
    <w:uiPriority w:val="34"/>
    <w:qFormat/>
    <w:pPr>
      <w:contextualSpacing/>
      <w:ind w:left="720"/>
    </w:pPr>
  </w:style>
  <w:style w:type="paragraph" w:styleId="655">
    <w:name w:val="Normal (Web)"/>
    <w:basedOn w:val="650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56">
    <w:name w:val="Table Grid"/>
    <w:basedOn w:val="652"/>
    <w:uiPriority w:val="59"/>
    <w:pPr>
      <w:ind w:firstLine="709"/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57">
    <w:name w:val="Header"/>
    <w:basedOn w:val="650"/>
    <w:link w:val="65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8" w:customStyle="1">
    <w:name w:val="Верхний колонтитул Знак"/>
    <w:basedOn w:val="651"/>
    <w:link w:val="657"/>
    <w:uiPriority w:val="99"/>
  </w:style>
  <w:style w:type="paragraph" w:styleId="659">
    <w:name w:val="Footer"/>
    <w:basedOn w:val="650"/>
    <w:link w:val="66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0" w:customStyle="1">
    <w:name w:val="Нижний колонтитул Знак"/>
    <w:basedOn w:val="651"/>
    <w:link w:val="659"/>
    <w:uiPriority w:val="99"/>
  </w:style>
  <w:style w:type="paragraph" w:styleId="661">
    <w:name w:val="Balloon Text"/>
    <w:basedOn w:val="650"/>
    <w:link w:val="66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2" w:customStyle="1">
    <w:name w:val="Текст выноски Знак"/>
    <w:basedOn w:val="651"/>
    <w:link w:val="66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hart" Target="charts/chart1.xml" /><Relationship Id="rId10" Type="http://schemas.openxmlformats.org/officeDocument/2006/relationships/chart" Target="charts/chart2.xml" /><Relationship Id="rId11" Type="http://schemas.openxmlformats.org/officeDocument/2006/relationships/chart" Target="charts/chart3.xml" /><Relationship Id="rId12" Type="http://schemas.openxmlformats.org/officeDocument/2006/relationships/chart" Target="charts/chart4.xml" /><Relationship Id="rId13" Type="http://schemas.openxmlformats.org/officeDocument/2006/relationships/chart" Target="charts/chart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charts/_rels/chart1.xml.rels><?xml version="1.0" encoding="UTF-8" standalone="yes"?><Relationships xmlns="http://schemas.openxmlformats.org/package/2006/relationships"><Relationship Id="rId1" Type="http://schemas.microsoft.com/office/2011/relationships/chartStyle" Target="style1.xml" /><Relationship Id="rId2" Type="http://schemas.microsoft.com/office/2011/relationships/chartColorStyle" Target="colors1.xml" /><Relationship Id="rId3" Type="http://schemas.openxmlformats.org/officeDocument/2006/relationships/package" Target="../embeddings/Microsoft_Excel_Worksheet1.xlsx" /></Relationships>
</file>

<file path=word/charts/_rels/chart2.xml.rels><?xml version="1.0" encoding="UTF-8" standalone="yes"?><Relationships xmlns="http://schemas.openxmlformats.org/package/2006/relationships"><Relationship Id="rId1" Type="http://schemas.openxmlformats.org/officeDocument/2006/relationships/themeOverride" Target="../theme/themeOverride1.xml" /><Relationship Id="rId2" Type="http://schemas.openxmlformats.org/officeDocument/2006/relationships/package" Target="../embeddings/Microsoft_Excel_Worksheet2.xlsx" /></Relationships>
</file>

<file path=word/charts/_rels/chart3.xml.rels><?xml version="1.0" encoding="UTF-8" standalone="yes"?><Relationships xmlns="http://schemas.openxmlformats.org/package/2006/relationships"><Relationship Id="rId1" Type="http://schemas.microsoft.com/office/2011/relationships/chartStyle" Target="style2.xml" /><Relationship Id="rId2" Type="http://schemas.microsoft.com/office/2011/relationships/chartColorStyle" Target="colors2.xml" /><Relationship Id="rId3" Type="http://schemas.openxmlformats.org/officeDocument/2006/relationships/package" Target="../embeddings/Microsoft_Excel_Worksheet3.xlsx" /></Relationships>
</file>

<file path=word/charts/_rels/chart4.xml.rels><?xml version="1.0" encoding="UTF-8" standalone="yes"?><Relationships xmlns="http://schemas.openxmlformats.org/package/2006/relationships"><Relationship Id="rId1" Type="http://schemas.microsoft.com/office/2011/relationships/chartStyle" Target="style3.xml" /><Relationship Id="rId2" Type="http://schemas.microsoft.com/office/2011/relationships/chartColorStyle" Target="colors3.xml" /><Relationship Id="rId3" Type="http://schemas.openxmlformats.org/officeDocument/2006/relationships/package" Target="../embeddings/Microsoft_Excel_Worksheet4.xlsx" /></Relationships>
</file>

<file path=word/charts/_rels/chart5.xml.rels><?xml version="1.0" encoding="UTF-8" standalone="yes"?><Relationships xmlns="http://schemas.openxmlformats.org/package/2006/relationships"><Relationship Id="rId1" Type="http://schemas.microsoft.com/office/2011/relationships/chartStyle" Target="style4.xml" /><Relationship Id="rId2" Type="http://schemas.microsoft.com/office/2011/relationships/chartColorStyle" Target="colors4.xml" /><Relationship Id="rId3" Type="http://schemas.openxmlformats.org/officeDocument/2006/relationships/package" Target="../embeddings/Microsoft_Excel_Worksheet5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 bwMode="auto">
              <a:prstGeom prst="rect">
                <a:avLst/>
              </a:prstGeom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 bwMode="auto">
              <a:prstGeom prst="rect">
                <a:avLst/>
              </a:prstGeom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 bwMode="auto">
              <a:prstGeom prst="rect">
                <a:avLst/>
              </a:prstGeom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howBubbleSize val="0"/>
            <c:showCatName val="1"/>
            <c:showLeaderLines val="0"/>
            <c:showLegendKey val="0"/>
            <c:showPercent val="1"/>
            <c:showSerName val="0"/>
            <c:showVal val="0"/>
            <c:spPr bwMode="auto">
              <a:prstGeom prst="rect">
                <a:avLst/>
              </a:prstGeom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</c:dLbls>
          <c:cat>
            <c:strRef>
              <c:f xml:space="preserve">'[Макаровой УК22 обработано.xlsx]Лист2'!$B$3:$B$7</c:f>
              <c:strCache>
                <c:ptCount val="5"/>
                <c:pt idx="0">
                  <c:v xml:space="preserve">1 к.</c:v>
                </c:pt>
                <c:pt idx="1">
                  <c:v xml:space="preserve">2 к.</c:v>
                </c:pt>
                <c:pt idx="2">
                  <c:v xml:space="preserve">3 к.</c:v>
                </c:pt>
                <c:pt idx="3">
                  <c:v xml:space="preserve">4 к.</c:v>
                </c:pt>
                <c:pt idx="4">
                  <c:v xml:space="preserve">5 к.</c:v>
                </c:pt>
              </c:strCache>
            </c:strRef>
          </c:cat>
          <c:val>
            <c:numRef>
              <c:f xml:space="preserve">'[Макаровой УК22 обработано.xlsx]Лист2'!$C$3:$C$7</c:f>
              <c:numCache>
                <c:formatCode>General</c:formatCode>
                <c:ptCount val="5"/>
                <c:pt idx="0">
                  <c:v>55</c:v>
                </c:pt>
                <c:pt idx="1">
                  <c:v>49</c:v>
                </c:pt>
                <c:pt idx="2">
                  <c:v>62</c:v>
                </c:pt>
                <c:pt idx="3">
                  <c:v>39</c:v>
                </c:pt>
                <c:pt idx="4">
                  <c:v>8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firstSliceAng val="0"/>
        <c:holeSize val="75"/>
      </c:doughnutChart>
      <c:spPr bwMode="auto">
        <a:prstGeom prst="rect">
          <a:avLst/>
        </a:prstGeom>
        <a:noFill/>
        <a:ln>
          <a:noFill/>
        </a:ln>
        <a:effectLst/>
      </c:spPr>
    </c:plotArea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 bwMode="auto">
            <a:prstGeom prst="rect">
              <a:avLst/>
            </a:prstGeom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Pos val="outEnd"/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</c:dLbls>
          <c:cat>
            <c:strRef>
              <c:f>Лист4!$A$4:$A$14</c:f>
              <c:strCache>
                <c:ptCount val="11"/>
                <c:pt idx="0">
                  <c:v xml:space="preserve">Безопасность жизнедеятельности</c:v>
                </c:pt>
                <c:pt idx="1">
                  <c:v>Философия</c:v>
                </c:pt>
                <c:pt idx="2">
                  <c:v xml:space="preserve">История (история России или всеобщая история)</c:v>
                </c:pt>
                <c:pt idx="3">
                  <c:v xml:space="preserve">Цифровая культура и цифровой профессионализм</c:v>
                </c:pt>
                <c:pt idx="4">
                  <c:v xml:space="preserve">Стратегия личностно-профессионального развития </c:v>
                </c:pt>
                <c:pt idx="5">
                  <c:v xml:space="preserve">Основы проектной деятельности </c:v>
                </c:pt>
                <c:pt idx="6">
                  <c:v xml:space="preserve">Основы проектной деятельности и предпринимательства</c:v>
                </c:pt>
                <c:pt idx="7">
                  <c:v xml:space="preserve">Экономическая культура и предпринимательство</c:v>
                </c:pt>
                <c:pt idx="8">
                  <c:v xml:space="preserve">Цифровая экономика и финансовая грамотность</c:v>
                </c:pt>
                <c:pt idx="9">
                  <c:v xml:space="preserve">Деловая коммуникация на русском языке</c:v>
                </c:pt>
                <c:pt idx="10">
                  <c:v xml:space="preserve">Иностранный язык</c:v>
                </c:pt>
              </c:strCache>
            </c:strRef>
          </c:cat>
          <c:val>
            <c:numRef>
              <c:f>Лист4!$B$4:$B$14</c:f>
              <c:numCache>
                <c:formatCode>General</c:formatCode>
                <c:ptCount val="11"/>
                <c:pt idx="0">
                  <c:v>3.48</c:v>
                </c:pt>
                <c:pt idx="1">
                  <c:v>3.59</c:v>
                </c:pt>
                <c:pt idx="2">
                  <c:v>3.7</c:v>
                </c:pt>
                <c:pt idx="3">
                  <c:v>3.78</c:v>
                </c:pt>
                <c:pt idx="4">
                  <c:v>3.8</c:v>
                </c:pt>
                <c:pt idx="5">
                  <c:v>3.84</c:v>
                </c:pt>
                <c:pt idx="6">
                  <c:v>3.85</c:v>
                </c:pt>
                <c:pt idx="7">
                  <c:v>3.86</c:v>
                </c:pt>
                <c:pt idx="8">
                  <c:v>3.98</c:v>
                </c:pt>
                <c:pt idx="9">
                  <c:v>4</c:v>
                </c:pt>
                <c:pt idx="10">
                  <c:v>4.23</c:v>
                </c:pt>
              </c:numCache>
            </c:numRef>
          </c:val>
        </c:ser>
        <c:dLbls>
          <c:dLblPos val="outEnd"/>
          <c:showBubbleSize val="0"/>
          <c:showCatName val="0"/>
          <c:showLeaderLines val="0"/>
          <c:showLegendKey val="0"/>
          <c:showPercent val="0"/>
          <c:showSerName val="0"/>
          <c:showVal val="1"/>
        </c:dLbls>
        <c:gapWidth val="182"/>
        <c:axId val="302990120"/>
        <c:axId val="302990904"/>
      </c:barChart>
      <c:catAx>
        <c:axId val="302990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2990904"/>
        <c:crosses val="autoZero"/>
        <c:auto val="1"/>
        <c:lblAlgn val="ctr"/>
        <c:lblOffset val="100"/>
        <c:noMultiLvlLbl val="0"/>
      </c:catAx>
      <c:valAx>
        <c:axId val="302990904"/>
        <c:scaling>
          <c:orientation val="minMax"/>
        </c:scaling>
        <c:delete val="0"/>
        <c:axPos val="b"/>
        <c:majorGridlines>
          <c:spPr bwMode="auto">
            <a:prstGeom prst="rect">
              <a:avLst/>
            </a:prstGeom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2990120"/>
        <c:crosses val="autoZero"/>
        <c:crossBetween val="between"/>
      </c:valAx>
      <c:spPr bwMode="auto">
        <a:prstGeom prst="rect">
          <a:avLst/>
        </a:prstGeom>
        <a:noFill/>
        <a:ln>
          <a:noFill/>
        </a:ln>
        <a:effectLst/>
      </c:spPr>
    </c:plotArea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 bwMode="auto">
            <a:prstGeom prst="rect">
              <a:avLst/>
            </a:prstGeom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Pos val="outEnd"/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</c:dLbls>
          <c:cat>
            <c:strRef>
              <c:f xml:space="preserve">'[УК22 (Автосохраненный).xlsx]таблички'!$A$71:$A$79</c:f>
              <c:strCache>
                <c:ptCount val="9"/>
                <c:pt idx="0">
                  <c:v xml:space="preserve">Способность вести деловую коммуникацию в устной и письменной форме на иностранном языке</c:v>
                </c:pt>
                <c:pt idx="1">
                  <c:v xml:space="preserve">Способность к межкультурному взаимодействию</c:v>
                </c:pt>
                <c:pt idx="2">
                  <c:v xml:space="preserve">Принятие решений на основе правовых норм, ресурсов и ограничений</c:v>
                </c:pt>
                <c:pt idx="3">
                  <c:v xml:space="preserve">Способность к принятию экономических решений в различных сферах, финансовая рамотность</c:v>
                </c:pt>
                <c:pt idx="4">
                  <c:v xml:space="preserve">Цифровые компетенции, компьютерная грамотность</c:v>
                </c:pt>
                <c:pt idx="5">
                  <c:v xml:space="preserve">Способность создавать и поддерживать безопасные условия жизнедеятельности, в том числе при возникновении чрезвычайных ситуаций</c:v>
                </c:pt>
                <c:pt idx="6">
                  <c:v xml:space="preserve">Коммуникативные компетенции, работа в команде</c:v>
                </c:pt>
                <c:pt idx="7">
                  <c:v xml:space="preserve">Способность вести деловую коммуникацию в устной и письменной форме на русском языке</c:v>
                </c:pt>
                <c:pt idx="8">
                  <c:v xml:space="preserve">Способность к саморазвитию, самообучению</c:v>
                </c:pt>
              </c:strCache>
            </c:strRef>
          </c:cat>
          <c:val>
            <c:numRef>
              <c:f xml:space="preserve">'[УК22 (Автосохраненный).xlsx]таблички'!$B$71:$B$79</c:f>
              <c:numCache>
                <c:formatCode>General</c:formatCode>
                <c:ptCount val="9"/>
                <c:pt idx="0">
                  <c:v>2.61</c:v>
                </c:pt>
                <c:pt idx="1">
                  <c:v>3.16</c:v>
                </c:pt>
                <c:pt idx="2">
                  <c:v>3.32</c:v>
                </c:pt>
                <c:pt idx="3">
                  <c:v>3.35</c:v>
                </c:pt>
                <c:pt idx="4">
                  <c:v>3.45</c:v>
                </c:pt>
                <c:pt idx="5">
                  <c:v>3.6</c:v>
                </c:pt>
                <c:pt idx="6">
                  <c:v>3.9</c:v>
                </c:pt>
                <c:pt idx="7">
                  <c:v>3.91</c:v>
                </c:pt>
                <c:pt idx="8">
                  <c:v>4.14</c:v>
                </c:pt>
              </c:numCache>
            </c:numRef>
          </c:val>
        </c:ser>
        <c:dLbls>
          <c:dLblPos val="outEnd"/>
          <c:showBubbleSize val="0"/>
          <c:showCatName val="0"/>
          <c:showLeaderLines val="0"/>
          <c:showLegendKey val="0"/>
          <c:showPercent val="0"/>
          <c:showSerName val="0"/>
          <c:showVal val="1"/>
        </c:dLbls>
        <c:gapWidth val="182"/>
        <c:axId val="454787408"/>
        <c:axId val="454790688"/>
      </c:barChart>
      <c:catAx>
        <c:axId val="454787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4790688"/>
        <c:crosses val="autoZero"/>
        <c:auto val="1"/>
        <c:lblAlgn val="ctr"/>
        <c:lblOffset val="100"/>
        <c:noMultiLvlLbl val="0"/>
      </c:catAx>
      <c:valAx>
        <c:axId val="454790688"/>
        <c:scaling>
          <c:orientation val="minMax"/>
        </c:scaling>
        <c:delete val="0"/>
        <c:axPos val="b"/>
        <c:majorGridlines>
          <c:spPr bwMode="auto">
            <a:prstGeom prst="rect">
              <a:avLst/>
            </a:prstGeom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4787408"/>
        <c:crosses val="autoZero"/>
        <c:crossBetween val="between"/>
      </c:valAx>
      <c:spPr bwMode="auto">
        <a:prstGeom prst="rect">
          <a:avLst/>
        </a:prstGeom>
        <a:noFill/>
        <a:ln>
          <a:noFill/>
        </a:ln>
        <a:effectLst/>
      </c:spPr>
    </c:plotArea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 bwMode="auto">
              <a:prstGeom prst="rect">
                <a:avLst/>
              </a:prstGeom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howBubbleSize val="0"/>
            <c:showCatName val="1"/>
            <c:showLeaderLines val="0"/>
            <c:showLegendKey val="0"/>
            <c:showPercent val="1"/>
            <c:showSerName val="0"/>
            <c:showVal val="0"/>
            <c:spPr bwMode="auto">
              <a:prstGeom prst="rect">
                <a:avLst/>
              </a:prstGeom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</c:dLbls>
          <c:cat>
            <c:strRef>
              <c:f xml:space="preserve">'[УК22 (Автосохраненный).xlsx]таблички'!$A$85:$A$87</c:f>
              <c:strCache>
                <c:ptCount val="3"/>
                <c:pt idx="0">
                  <c:v>да</c:v>
                </c:pt>
                <c:pt idx="1">
                  <c:v xml:space="preserve">не знаю</c:v>
                </c:pt>
                <c:pt idx="2">
                  <c:v>нет</c:v>
                </c:pt>
              </c:strCache>
            </c:strRef>
          </c:cat>
          <c:val>
            <c:numRef>
              <c:f xml:space="preserve">'[УК22 (Автосохраненный).xlsx]таблички'!$B$85:$B$87</c:f>
              <c:numCache>
                <c:formatCode>General</c:formatCode>
                <c:ptCount val="3"/>
                <c:pt idx="0">
                  <c:v>32</c:v>
                </c:pt>
                <c:pt idx="1">
                  <c:v>49</c:v>
                </c:pt>
                <c:pt idx="2">
                  <c:v>135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firstSliceAng val="0"/>
        <c:holeSize val="75"/>
      </c:doughnutChart>
      <c:spPr bwMode="auto">
        <a:prstGeom prst="rect">
          <a:avLst/>
        </a:prstGeom>
        <a:noFill/>
        <a:ln>
          <a:noFill/>
        </a:ln>
        <a:effectLst/>
      </c:spPr>
    </c:plotArea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 bwMode="auto">
            <a:prstGeom prst="rect">
              <a:avLst/>
            </a:prstGeom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Pos val="outEnd"/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</c:dLbls>
          <c:cat>
            <c:strRef>
              <c:f>Лист4!$A$16:$A$19</c:f>
              <c:strCache>
                <c:ptCount val="4"/>
                <c:pt idx="0">
                  <c:v xml:space="preserve">да, уже имею свое дело</c:v>
                </c:pt>
                <c:pt idx="1">
                  <c:v xml:space="preserve">да, хотел(а) бы иметь свое дело или реализовать бизнес-проект</c:v>
                </c:pt>
                <c:pt idx="2">
                  <c:v xml:space="preserve">Интересуюсь этой деятельностью, но сам(а) не готов(а) заниматься предпринимательством</c:v>
                </c:pt>
                <c:pt idx="3">
                  <c:v xml:space="preserve">Не интересует</c:v>
                </c:pt>
              </c:strCache>
            </c:strRef>
          </c:cat>
          <c:val>
            <c:numRef>
              <c:f>Лист4!$B$16:$B$19</c:f>
              <c:numCache>
                <c:formatCode>0.00%</c:formatCode>
                <c:ptCount val="4"/>
                <c:pt idx="0">
                  <c:v>0.046296296296296294</c:v>
                </c:pt>
                <c:pt idx="1">
                  <c:v>0.35185185185185186</c:v>
                </c:pt>
                <c:pt idx="2">
                  <c:v>0.33796296296296297</c:v>
                </c:pt>
                <c:pt idx="3">
                  <c:v>0.2638888888888889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gapWidth val="182"/>
        <c:axId val="449103320"/>
        <c:axId val="449105944"/>
      </c:barChart>
      <c:catAx>
        <c:axId val="449103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105944"/>
        <c:crosses val="autoZero"/>
        <c:auto val="1"/>
        <c:lblAlgn val="ctr"/>
        <c:lblOffset val="100"/>
        <c:noMultiLvlLbl val="0"/>
      </c:catAx>
      <c:valAx>
        <c:axId val="449105944"/>
        <c:scaling>
          <c:orientation val="minMax"/>
        </c:scaling>
        <c:delete val="0"/>
        <c:axPos val="b"/>
        <c:majorGridlines>
          <c:spPr bwMode="auto">
            <a:prstGeom prst="rect">
              <a:avLst/>
            </a:prstGeom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103320"/>
        <c:crosses val="autoZero"/>
        <c:crossBetween val="between"/>
      </c:valAx>
      <c:spPr bwMode="auto">
        <a:prstGeom prst="rect">
          <a:avLst/>
        </a:prstGeom>
        <a:noFill/>
        <a:ln>
          <a:noFill/>
        </a:ln>
        <a:effectLst/>
      </c:spPr>
    </c:plotArea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 bwMode="auto">
      <a:prstGeom prst="rect">
        <a:avLst/>
      </a:prstGeom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 bwMode="auto">
      <a:prstGeom prst="rect">
        <a:avLst/>
      </a:prstGeom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 bwMode="auto">
      <a:prstGeom prst="rect">
        <a:avLst/>
      </a:prstGeom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 bwMode="auto">
      <a:prstGeom prst="rect">
        <a:avLst/>
      </a:prstGeom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 bwMode="auto">
      <a:prstGeom prst="rect">
        <a:avLst/>
      </a:prstGeom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 bwMode="auto">
      <a:prstGeom prst="rect">
        <a:avLst/>
      </a:prstGeom>
      <a:ln w="9525">
        <a:solidFill>
          <a:schemeClr val="phClr"/>
        </a:solidFill>
      </a:ln>
    </cs:spPr>
  </cs:dataPointMarker>
  <cs:dataPointWireframe>
    <cs:lnRef idx="0">
      <cs:styleClr val="auto"/>
    </cs:lnRef>
    <cs:fillRef idx="0"/>
    <cs:effectRef idx="0"/>
    <cs:fontRef idx="minor">
      <a:schemeClr val="tx1"/>
    </cs:fontRef>
    <cs:spPr bwMode="auto">
      <a:prstGeom prst="rect">
        <a:avLst/>
      </a:prstGeom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 bwMode="auto">
      <a:prstGeom prst="rect">
        <a:avLst/>
      </a:prstGeom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dataTable>
  <cs:downBar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 bwMode="auto">
      <a:prstGeom prst="rect">
        <a:avLst/>
      </a:prstGeom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spc="0"/>
  </cs:title>
  <cs:trendline>
    <cs:lnRef idx="0">
      <cs:styleClr val="auto"/>
    </cs:lnRef>
    <cs:fillRef idx="0"/>
    <cs:effectRef idx="0"/>
    <cs:fontRef idx="minor">
      <a:schemeClr val="tx1"/>
    </cs:fontRef>
    <cs:spPr bwMode="auto">
      <a:prstGeom prst="rect">
        <a:avLst/>
      </a:prstGeom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  <cs:spPr bwMode="auto">
      <a:prstGeom prst="rect">
        <a:avLst/>
      </a:prstGeom>
      <a:noFill/>
      <a:ln>
        <a:noFill/>
      </a:ln>
    </cs:spPr>
  </cs:wall>
  <cs:dataPointMarkerLayout symbol="circle" size="5"/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 bwMode="auto">
      <a:prstGeom prst="rect">
        <a:avLst/>
      </a:prstGeom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 bwMode="auto">
      <a:prstGeom prst="rect">
        <a:avLst/>
      </a:prstGeom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 bwMode="auto">
      <a:prstGeom prst="rect">
        <a:avLst/>
      </a:prstGeom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 bwMode="auto">
      <a:prstGeom prst="rect">
        <a:avLst/>
      </a:prstGeom>
      <a:ln w="9525">
        <a:solidFill>
          <a:schemeClr val="phClr"/>
        </a:solidFill>
      </a:ln>
    </cs:spPr>
  </cs:dataPointMarker>
  <cs:dataPointWireframe>
    <cs:lnRef idx="0">
      <cs:styleClr val="auto"/>
    </cs:lnRef>
    <cs:fillRef idx="1"/>
    <cs:effectRef idx="0"/>
    <cs:fontRef idx="minor">
      <a:schemeClr val="tx1"/>
    </cs:fontRef>
    <cs:spPr bwMode="auto">
      <a:prstGeom prst="rect">
        <a:avLst/>
      </a:prstGeom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 bwMode="auto">
      <a:prstGeom prst="rect">
        <a:avLst/>
      </a:prstGeom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dataTable>
  <cs:downBar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 bwMode="auto">
      <a:prstGeom prst="rect">
        <a:avLst/>
      </a:prstGeom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spc="0"/>
  </cs:title>
  <cs:trendline>
    <cs:lnRef idx="0">
      <cs:styleClr val="auto"/>
    </cs:lnRef>
    <cs:fillRef idx="0"/>
    <cs:effectRef idx="0"/>
    <cs:fontRef idx="minor">
      <a:schemeClr val="tx1"/>
    </cs:fontRef>
    <cs:spPr bwMode="auto">
      <a:prstGeom prst="rect">
        <a:avLst/>
      </a:prstGeom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  <cs:spPr bwMode="auto">
      <a:prstGeom prst="rect">
        <a:avLst/>
      </a:prstGeom>
      <a:noFill/>
      <a:ln>
        <a:noFill/>
      </a:ln>
    </cs:spPr>
  </cs:wall>
  <cs:dataPointMarkerLayout symbol="circle" size="5"/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 bwMode="auto">
      <a:prstGeom prst="rect">
        <a:avLst/>
      </a:prstGeom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 bwMode="auto">
      <a:prstGeom prst="rect">
        <a:avLst/>
      </a:prstGeom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 bwMode="auto">
      <a:prstGeom prst="rect">
        <a:avLst/>
      </a:prstGeom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 bwMode="auto">
      <a:prstGeom prst="rect">
        <a:avLst/>
      </a:prstGeom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 bwMode="auto">
      <a:prstGeom prst="rect">
        <a:avLst/>
      </a:prstGeom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 bwMode="auto">
      <a:prstGeom prst="rect">
        <a:avLst/>
      </a:prstGeom>
      <a:ln w="9525">
        <a:solidFill>
          <a:schemeClr val="phClr"/>
        </a:solidFill>
      </a:ln>
    </cs:spPr>
  </cs:dataPointMarker>
  <cs:dataPointWireframe>
    <cs:lnRef idx="0">
      <cs:styleClr val="auto"/>
    </cs:lnRef>
    <cs:fillRef idx="0"/>
    <cs:effectRef idx="0"/>
    <cs:fontRef idx="minor">
      <a:schemeClr val="tx1"/>
    </cs:fontRef>
    <cs:spPr bwMode="auto">
      <a:prstGeom prst="rect">
        <a:avLst/>
      </a:prstGeom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 bwMode="auto">
      <a:prstGeom prst="rect">
        <a:avLst/>
      </a:prstGeom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dataTable>
  <cs:downBar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 bwMode="auto">
      <a:prstGeom prst="rect">
        <a:avLst/>
      </a:prstGeom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spc="0"/>
  </cs:title>
  <cs:trendline>
    <cs:lnRef idx="0">
      <cs:styleClr val="auto"/>
    </cs:lnRef>
    <cs:fillRef idx="0"/>
    <cs:effectRef idx="0"/>
    <cs:fontRef idx="minor">
      <a:schemeClr val="tx1"/>
    </cs:fontRef>
    <cs:spPr bwMode="auto">
      <a:prstGeom prst="rect">
        <a:avLst/>
      </a:prstGeom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  <cs:spPr bwMode="auto">
      <a:prstGeom prst="rect">
        <a:avLst/>
      </a:prstGeom>
      <a:noFill/>
      <a:ln>
        <a:noFill/>
      </a:ln>
    </cs:spPr>
  </cs:wall>
  <cs:dataPointMarkerLayout symbol="circle" size="5"/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 bwMode="auto">
      <a:prstGeom prst="rect">
        <a:avLst/>
      </a:prstGeom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 bwMode="auto">
      <a:prstGeom prst="rect">
        <a:avLst/>
      </a:prstGeom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 bwMode="auto">
      <a:prstGeom prst="rect">
        <a:avLst/>
      </a:prstGeom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 bwMode="auto">
      <a:prstGeom prst="rect">
        <a:avLst/>
      </a:prstGeom>
      <a:ln w="9525">
        <a:solidFill>
          <a:schemeClr val="phClr"/>
        </a:solidFill>
      </a:ln>
    </cs:spPr>
  </cs:dataPointMarker>
  <cs:dataPointWireframe>
    <cs:lnRef idx="0">
      <cs:styleClr val="auto"/>
    </cs:lnRef>
    <cs:fillRef idx="1"/>
    <cs:effectRef idx="0"/>
    <cs:fontRef idx="minor">
      <a:schemeClr val="tx1"/>
    </cs:fontRef>
    <cs:spPr bwMode="auto">
      <a:prstGeom prst="rect">
        <a:avLst/>
      </a:prstGeom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 bwMode="auto">
      <a:prstGeom prst="rect">
        <a:avLst/>
      </a:prstGeom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dataTable>
  <cs:downBar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 bwMode="auto">
      <a:prstGeom prst="rect">
        <a:avLst/>
      </a:prstGeom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spc="0"/>
  </cs:title>
  <cs:trendline>
    <cs:lnRef idx="0">
      <cs:styleClr val="auto"/>
    </cs:lnRef>
    <cs:fillRef idx="0"/>
    <cs:effectRef idx="0"/>
    <cs:fontRef idx="minor">
      <a:schemeClr val="tx1"/>
    </cs:fontRef>
    <cs:spPr bwMode="auto">
      <a:prstGeom prst="rect">
        <a:avLst/>
      </a:prstGeom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  <cs:spPr bwMode="auto">
      <a:prstGeom prst="rect">
        <a:avLst/>
      </a:prstGeom>
      <a:noFill/>
      <a:ln>
        <a:noFill/>
      </a:ln>
    </cs:spPr>
  </cs:wall>
  <cs:dataPointMarkerLayout symbol="circle" size="5"/>
</cs:chartStyle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 xmlns:r="http://schemas.openxmlformats.org/officeDocument/2006/relationships" xmlns:p="http://schemas.openxmlformats.org/presentation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Arial"/>
      <a:cs typeface="Arial"/>
    </a:majorFont>
    <a:minorFont>
      <a:latin typeface="Calibri"/>
      <a:ea typeface="Arial"/>
      <a:cs typeface="Arial"/>
    </a:minorFont>
  </a:fontScheme>
  <a:fmtScheme name="Стандартная">
    <a:fillStyleLst>
      <a:solidFill>
        <a:schemeClr val="phClr"/>
      </a:solidFill>
      <a:gradFill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Kate Silver</cp:lastModifiedBy>
  <cp:revision>12</cp:revision>
  <dcterms:created xsi:type="dcterms:W3CDTF">2022-11-02T04:58:00Z</dcterms:created>
  <dcterms:modified xsi:type="dcterms:W3CDTF">2023-04-07T11:03:19Z</dcterms:modified>
</cp:coreProperties>
</file>